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br/>
      </w:r>
      <w:r>
        <w:rPr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619125"/>
                <wp:effectExtent l="0" t="0" r="9525" b="9525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47675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35.25pt;height:48.75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581025"/>
                <wp:effectExtent l="0" t="0" r="9525" b="9525"/>
                <wp:docPr id="2" name="Immagine 1" descr="Logo Città Alpina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ittà Alpina 201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619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4.25pt;height:45.75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  <w:sz w:val="32"/>
          <w:szCs w:val="32"/>
          <w:lang w:eastAsia="zh-CN"/>
        </w:rPr>
        <w:t xml:space="preserve"> </w:t>
      </w:r>
      <w:r>
        <w:rPr>
          <w:b/>
          <w:sz w:val="32"/>
          <w:szCs w:val="32"/>
          <w:lang w:eastAsia="zh-CN"/>
        </w:rPr>
      </w:r>
    </w:p>
    <w:p>
      <w:pPr>
        <w:pBdr/>
        <w:spacing/>
        <w:ind/>
        <w:jc w:val="center"/>
        <w:rPr>
          <w:b/>
          <w:sz w:val="20"/>
          <w:szCs w:val="20"/>
          <w:lang w:eastAsia="zh-CN"/>
        </w:rPr>
      </w:pPr>
      <w:r>
        <w:rPr>
          <w:b/>
          <w:sz w:val="32"/>
          <w:szCs w:val="32"/>
          <w:lang w:eastAsia="zh-CN"/>
        </w:rPr>
        <w:t xml:space="preserve">CITTÀ DI MORBEGNO</w:t>
      </w:r>
      <w:r>
        <w:rPr>
          <w:b/>
          <w:sz w:val="20"/>
          <w:szCs w:val="20"/>
          <w:lang w:eastAsia="zh-CN"/>
        </w:rPr>
      </w:r>
    </w:p>
    <w:p>
      <w:pPr>
        <w:pBdr/>
        <w:spacing/>
        <w:ind/>
        <w:jc w:val="center"/>
        <w:rPr>
          <w:lang w:eastAsia="zh-CN"/>
        </w:rPr>
      </w:pPr>
      <w:r>
        <w:rPr>
          <w:b/>
          <w:lang w:eastAsia="zh-CN"/>
        </w:rPr>
        <w:t xml:space="preserve">(Provincia di Sondrio)</w:t>
      </w:r>
      <w:r>
        <w:rPr>
          <w:lang w:eastAsia="zh-CN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both"/>
        <w:rPr/>
      </w:pPr>
      <w:r>
        <w:rPr>
          <w:b/>
        </w:rPr>
        <w:t xml:space="preserve">OGGETTO: </w:t>
      </w:r>
      <w:r>
        <w:rPr>
          <w:b/>
        </w:rPr>
        <w:t xml:space="preserve">AVVISO PUBBLICO PER MANIFESTAZIONE DI INTERESSE ALLA SPONSORIZZAZIONE </w:t>
      </w:r>
      <w:r>
        <w:rPr>
          <w:b/>
        </w:rPr>
        <w:t xml:space="preserve">DELL’EVENTO “</w:t>
      </w:r>
      <w:r>
        <w:rPr>
          <w:b/>
        </w:rPr>
        <w:t xml:space="preserve">MORBEGNO ALPS FESTIVAL 2024</w:t>
      </w:r>
      <w:r>
        <w:rPr>
          <w:b/>
        </w:rPr>
        <w:t xml:space="preserve">”</w:t>
      </w:r>
      <w:r/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/>
        <w:jc w:val="both"/>
        <w:rPr/>
      </w:pPr>
      <w:r>
        <w:t xml:space="preserve">Il Comune di Morbegno intende </w:t>
      </w:r>
      <w:r>
        <w:t xml:space="preserve">organizzare la prima edizione d</w:t>
      </w:r>
      <w:r>
        <w:t xml:space="preserve">i</w:t>
      </w:r>
      <w:r>
        <w:t xml:space="preserve"> MORBEGNO ALPS FESTIVAL 2024 </w:t>
      </w:r>
      <w:r>
        <w:t xml:space="preserve">che si svolgerà nel</w:t>
      </w:r>
      <w:r>
        <w:t xml:space="preserve">le giornate </w:t>
      </w:r>
      <w:r>
        <w:t xml:space="preserve"> dall’ </w:t>
      </w:r>
      <w:r>
        <w:t xml:space="preserve">11</w:t>
      </w:r>
      <w:r>
        <w:t xml:space="preserve"> al </w:t>
      </w:r>
      <w:r>
        <w:t xml:space="preserve">15 dicembre 2024 </w:t>
      </w:r>
      <w:r>
        <w:t xml:space="preserve">,</w:t>
      </w:r>
      <w:r>
        <w:t xml:space="preserve">al fine di ampliare il programma delle manifestazioni previste per la Giornata Internazional</w:t>
      </w:r>
      <w:r>
        <w:t xml:space="preserve">e della Montagna, evento, che si celebra il giorno 11 dicembre di ogni anno e che è stato istituito dall’Assemblea Generale delle Nazioni Unite a partire dal 2003, dopo avere dichiarato il 2002 “Anno Internazionale della montagna” – International Mountain </w:t>
      </w:r>
      <w:r>
        <w:t xml:space="preserve">Year</w:t>
      </w:r>
      <w:r>
        <w:t xml:space="preserve"> (IMY</w:t>
      </w:r>
      <w:r>
        <w:t xml:space="preserve">)</w:t>
      </w:r>
      <w:r>
        <w:t xml:space="preserve">. </w:t>
      </w:r>
      <w:r/>
    </w:p>
    <w:p>
      <w:pPr>
        <w:pBdr/>
        <w:spacing/>
        <w:ind/>
        <w:jc w:val="both"/>
        <w:rPr/>
      </w:pPr>
      <w:r>
        <w:t xml:space="preserve">N</w:t>
      </w:r>
      <w:r>
        <w:t xml:space="preserve">el quadro del </w:t>
      </w:r>
      <w:r>
        <w:rPr>
          <w:i/>
        </w:rPr>
        <w:t xml:space="preserve">Regolamento Comunale per la disciplina e la gestione delle sponsorizzazioni e delle erogazioni liberali</w:t>
      </w:r>
      <w:r>
        <w:t xml:space="preserve">, approvato con deliberazione del Consiglio comunale n. 20 del 28 maggio 2020 </w:t>
      </w:r>
      <w:r>
        <w:t xml:space="preserve">c</w:t>
      </w:r>
      <w:r>
        <w:t xml:space="preserve">on il presente </w:t>
      </w:r>
      <w:r/>
    </w:p>
    <w:p>
      <w:pPr>
        <w:pBdr/>
        <w:spacing/>
        <w:ind/>
        <w:jc w:val="center"/>
        <w:rPr/>
      </w:pPr>
      <w:r>
        <w:t xml:space="preserve">Avviso pubblico</w:t>
      </w:r>
      <w:r/>
    </w:p>
    <w:p>
      <w:pPr>
        <w:pBdr/>
        <w:spacing/>
        <w:ind/>
        <w:jc w:val="both"/>
        <w:rPr/>
      </w:pPr>
      <w:r>
        <w:t xml:space="preserve">si</w:t>
      </w:r>
      <w:r>
        <w:t xml:space="preserve"> intende raccogliere le manifestazioni di interesse alla sponsorizzazione </w:t>
      </w:r>
      <w:r>
        <w:t xml:space="preserve">finanziaria </w:t>
      </w:r>
      <w:r>
        <w:t xml:space="preserve">della suddetta iniziat</w:t>
      </w:r>
      <w:r>
        <w:t xml:space="preserve">iva</w:t>
      </w:r>
      <w:r>
        <w:t xml:space="preserve">.</w:t>
      </w:r>
      <w:r>
        <w:t xml:space="preserve"> 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>
        <w:t xml:space="preserve">I soggetti che, attraverso la sponsorizzazione intendono promuovere la propria immagine associandola agli eventi </w:t>
      </w:r>
      <w:r>
        <w:t xml:space="preserve">MORBEGNO ALPS FESTIVAL 2024 </w:t>
      </w:r>
      <w:r>
        <w:t xml:space="preserve">dovranno avere i seguenti requisiti: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>
        <w:t xml:space="preserve">- l’inesistenza delle condizioni che impediscono di contrattare con la Pubblica amministrazione;</w:t>
      </w:r>
      <w:r/>
    </w:p>
    <w:p>
      <w:pPr>
        <w:pBdr/>
        <w:spacing/>
        <w:ind/>
        <w:jc w:val="both"/>
        <w:rPr/>
      </w:pPr>
      <w:r>
        <w:t xml:space="preserve">- l’inesistenza di impedimenti derivanti dalla sottoposizione a misure cautelari antimafia;</w:t>
      </w:r>
      <w:r/>
    </w:p>
    <w:p>
      <w:pPr>
        <w:pBdr/>
        <w:spacing/>
        <w:ind/>
        <w:jc w:val="both"/>
        <w:rPr/>
      </w:pPr>
      <w:r>
        <w:t xml:space="preserve">- l’inesistenza di procedure concorsuali o fallimentari (solo se imprese);</w:t>
      </w:r>
      <w:r/>
    </w:p>
    <w:p>
      <w:pPr>
        <w:pBdr/>
        <w:spacing/>
        <w:ind/>
        <w:jc w:val="both"/>
        <w:rPr/>
      </w:pPr>
      <w:r>
        <w:t xml:space="preserve">- la non appartenenza ad organizzazioni di natura politica, sindacale, filosofica o religiosa.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>
        <w:t xml:space="preserve">Lo sponsor </w:t>
      </w:r>
      <w:r>
        <w:t xml:space="preserve">dovrà </w:t>
      </w:r>
      <w:r>
        <w:t xml:space="preserve">corrispondere l’erogazione economica</w:t>
      </w:r>
      <w:r>
        <w:t xml:space="preserve"> a questo Ente. 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>
        <w:t xml:space="preserve">I soggetti interessati devono presentare la MANIFESTAZIONE DI INTERESSE </w:t>
      </w:r>
      <w:r>
        <w:t xml:space="preserve">utilizzando il </w:t>
      </w:r>
      <w:r>
        <w:t xml:space="preserve">modulo allegato ed inviarla tramite PEC al seguente indirizzo</w:t>
      </w:r>
      <w:r>
        <w:t xml:space="preserve">: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/>
      <w:hyperlink r:id="rId12" w:tooltip="mailto:protocollo.morbegno@cert.provincia.so.it" w:history="1">
        <w:r>
          <w:rPr>
            <w:rStyle w:val="680"/>
            <w:b/>
            <w:color w:val="auto"/>
          </w:rPr>
          <w:t xml:space="preserve">protocollo.morbegno@cert.provincia.so.it</w:t>
        </w:r>
      </w:hyperlink>
      <w:r>
        <w:rPr>
          <w:b/>
        </w:rPr>
        <w:t xml:space="preserve">, </w:t>
      </w:r>
      <w:r>
        <w:t xml:space="preserve">entro il </w:t>
      </w:r>
      <w:r>
        <w:rPr>
          <w:b/>
        </w:rPr>
        <w:t xml:space="preserve">giorno </w:t>
      </w:r>
      <w:r>
        <w:rPr>
          <w:b/>
        </w:rPr>
        <w:t xml:space="preserve">29 novembre alle</w:t>
      </w:r>
      <w:r>
        <w:rPr>
          <w:b/>
        </w:rPr>
        <w:t xml:space="preserve"> ore 12.00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>
        <w:t xml:space="preserve">La domanda </w:t>
      </w:r>
      <w:r>
        <w:t xml:space="preserve">deve essere </w:t>
      </w:r>
      <w:r>
        <w:t xml:space="preserve">firmata digitalmente; in caso di firma autografa d</w:t>
      </w:r>
      <w:r>
        <w:t xml:space="preserve">eve</w:t>
      </w:r>
      <w:r>
        <w:t xml:space="preserve"> essere scannerizzata e inviata on line completa di </w:t>
      </w:r>
      <w:r>
        <w:t xml:space="preserve">scansione (fronte/retro) della carta di identità del dichiarante</w:t>
      </w:r>
      <w:r>
        <w:t xml:space="preserve">.</w:t>
      </w:r>
      <w:bookmarkStart w:id="0" w:name="_GoBack"/>
      <w:r/>
      <w:bookmarkEnd w:id="0"/>
      <w:r/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Il Responsabile </w:t>
      </w:r>
      <w:r>
        <w:rPr>
          <w:b/>
        </w:rPr>
        <w:t xml:space="preserve">del Servizio Biblioteca</w:t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Alberto Benini</w:t>
      </w:r>
      <w:r>
        <w:rPr>
          <w:b/>
        </w:rPr>
      </w:r>
    </w:p>
    <w:sectPr>
      <w:footnotePr/>
      <w:endnotePr/>
      <w:type w:val="nextPage"/>
      <w:pgSz w:h="16840" w:orient="portrait" w:w="11907"/>
      <w:pgMar w:top="851" w:right="1134" w:bottom="851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Helvetica">
    <w:panose1 w:val="020B0604020202020204"/>
  </w:font>
  <w:font w:name="Segoe UI">
    <w:panose1 w:val="020B0502040204020203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1068"/>
        </w:tabs>
        <w:spacing/>
        <w:ind w:hanging="360" w:left="106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788"/>
        </w:tabs>
        <w:spacing/>
        <w:ind w:hanging="360" w:left="178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08"/>
        </w:tabs>
        <w:spacing/>
        <w:ind w:hanging="360" w:left="250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28"/>
        </w:tabs>
        <w:spacing/>
        <w:ind w:hanging="360" w:left="322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48"/>
        </w:tabs>
        <w:spacing/>
        <w:ind w:hanging="360" w:left="394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68"/>
        </w:tabs>
        <w:spacing/>
        <w:ind w:hanging="360" w:left="466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388"/>
        </w:tabs>
        <w:spacing/>
        <w:ind w:hanging="360" w:left="538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08"/>
        </w:tabs>
        <w:spacing/>
        <w:ind w:hanging="360" w:left="610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28"/>
        </w:tabs>
        <w:spacing/>
        <w:ind w:hanging="360" w:left="6828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)"/>
      <w:numFmt w:val="upperLetter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eastAsia="Times New Roman" w:cs="Aria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it-IT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6"/>
    <w:next w:val="67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6"/>
    <w:next w:val="67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6"/>
    <w:next w:val="67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6"/>
    <w:next w:val="67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6"/>
    <w:next w:val="67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6"/>
    <w:next w:val="67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6"/>
    <w:next w:val="67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6"/>
    <w:next w:val="67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6"/>
    <w:next w:val="67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7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7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7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6"/>
    <w:next w:val="67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7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6"/>
    <w:next w:val="67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7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6"/>
    <w:next w:val="67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7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7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6"/>
    <w:next w:val="67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7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7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7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7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7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77"/>
    <w:link w:val="175"/>
    <w:uiPriority w:val="99"/>
    <w:pPr>
      <w:pBdr/>
      <w:spacing/>
      <w:ind/>
    </w:pPr>
  </w:style>
  <w:style w:type="paragraph" w:styleId="177">
    <w:name w:val="Footer"/>
    <w:basedOn w:val="67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77"/>
    <w:link w:val="177"/>
    <w:uiPriority w:val="99"/>
    <w:pPr>
      <w:pBdr/>
      <w:spacing/>
      <w:ind/>
    </w:pPr>
  </w:style>
  <w:style w:type="paragraph" w:styleId="179">
    <w:name w:val="Caption"/>
    <w:basedOn w:val="676"/>
    <w:next w:val="67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7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7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7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77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7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76"/>
    <w:next w:val="676"/>
    <w:uiPriority w:val="39"/>
    <w:unhideWhenUsed/>
    <w:pPr>
      <w:pBdr/>
      <w:spacing w:after="100"/>
      <w:ind/>
    </w:pPr>
  </w:style>
  <w:style w:type="paragraph" w:styleId="189">
    <w:name w:val="toc 2"/>
    <w:basedOn w:val="676"/>
    <w:next w:val="676"/>
    <w:uiPriority w:val="39"/>
    <w:unhideWhenUsed/>
    <w:pPr>
      <w:pBdr/>
      <w:spacing w:after="100"/>
      <w:ind w:left="220"/>
    </w:pPr>
  </w:style>
  <w:style w:type="paragraph" w:styleId="190">
    <w:name w:val="toc 3"/>
    <w:basedOn w:val="676"/>
    <w:next w:val="676"/>
    <w:uiPriority w:val="39"/>
    <w:unhideWhenUsed/>
    <w:pPr>
      <w:pBdr/>
      <w:spacing w:after="100"/>
      <w:ind w:left="440"/>
    </w:pPr>
  </w:style>
  <w:style w:type="paragraph" w:styleId="191">
    <w:name w:val="toc 4"/>
    <w:basedOn w:val="676"/>
    <w:next w:val="676"/>
    <w:uiPriority w:val="39"/>
    <w:unhideWhenUsed/>
    <w:pPr>
      <w:pBdr/>
      <w:spacing w:after="100"/>
      <w:ind w:left="660"/>
    </w:pPr>
  </w:style>
  <w:style w:type="paragraph" w:styleId="192">
    <w:name w:val="toc 5"/>
    <w:basedOn w:val="676"/>
    <w:next w:val="676"/>
    <w:uiPriority w:val="39"/>
    <w:unhideWhenUsed/>
    <w:pPr>
      <w:pBdr/>
      <w:spacing w:after="100"/>
      <w:ind w:left="880"/>
    </w:pPr>
  </w:style>
  <w:style w:type="paragraph" w:styleId="193">
    <w:name w:val="toc 6"/>
    <w:basedOn w:val="676"/>
    <w:next w:val="676"/>
    <w:uiPriority w:val="39"/>
    <w:unhideWhenUsed/>
    <w:pPr>
      <w:pBdr/>
      <w:spacing w:after="100"/>
      <w:ind w:left="1100"/>
    </w:pPr>
  </w:style>
  <w:style w:type="paragraph" w:styleId="194">
    <w:name w:val="toc 7"/>
    <w:basedOn w:val="676"/>
    <w:next w:val="676"/>
    <w:uiPriority w:val="39"/>
    <w:unhideWhenUsed/>
    <w:pPr>
      <w:pBdr/>
      <w:spacing w:after="100"/>
      <w:ind w:left="1320"/>
    </w:pPr>
  </w:style>
  <w:style w:type="paragraph" w:styleId="195">
    <w:name w:val="toc 8"/>
    <w:basedOn w:val="676"/>
    <w:next w:val="676"/>
    <w:uiPriority w:val="39"/>
    <w:unhideWhenUsed/>
    <w:pPr>
      <w:pBdr/>
      <w:spacing w:after="100"/>
      <w:ind w:left="1540"/>
    </w:pPr>
  </w:style>
  <w:style w:type="paragraph" w:styleId="196">
    <w:name w:val="toc 9"/>
    <w:basedOn w:val="676"/>
    <w:next w:val="676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76"/>
    <w:next w:val="676"/>
    <w:uiPriority w:val="99"/>
    <w:unhideWhenUsed/>
    <w:pPr>
      <w:pBdr/>
      <w:spacing w:after="0" w:afterAutospacing="0"/>
      <w:ind/>
    </w:pPr>
  </w:style>
  <w:style w:type="paragraph" w:styleId="676" w:default="1">
    <w:name w:val="Normal"/>
    <w:qFormat/>
    <w:pPr>
      <w:pBdr/>
      <w:spacing/>
      <w:ind/>
    </w:pPr>
    <w:rPr>
      <w:sz w:val="24"/>
      <w:szCs w:val="24"/>
    </w:rPr>
  </w:style>
  <w:style w:type="character" w:styleId="677" w:default="1">
    <w:name w:val="Default Paragraph Font"/>
    <w:semiHidden/>
    <w:pPr>
      <w:pBdr/>
      <w:spacing/>
      <w:ind/>
    </w:pPr>
  </w:style>
  <w:style w:type="table" w:styleId="678" w:default="1">
    <w:name w:val="Normal Table"/>
    <w:semiHidden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9" w:default="1">
    <w:name w:val="No List"/>
    <w:semiHidden/>
    <w:pPr>
      <w:pBdr/>
      <w:spacing/>
      <w:ind/>
    </w:pPr>
  </w:style>
  <w:style w:type="character" w:styleId="680">
    <w:name w:val="Hyperlink"/>
    <w:pPr>
      <w:pBdr/>
      <w:spacing/>
      <w:ind/>
    </w:pPr>
    <w:rPr>
      <w:color w:val="0000ff"/>
      <w:u w:val="single"/>
    </w:rPr>
  </w:style>
  <w:style w:type="paragraph" w:styleId="681">
    <w:name w:val="Normal (Web)"/>
    <w:basedOn w:val="676"/>
    <w:pPr>
      <w:pBdr/>
      <w:spacing w:after="100" w:afterAutospacing="1" w:before="100" w:beforeAutospacing="1"/>
      <w:ind/>
    </w:pPr>
    <w:rPr>
      <w:rFonts w:ascii="Arial Unicode MS" w:hAnsi="Arial Unicode MS" w:eastAsia="Arial Unicode MS"/>
    </w:rPr>
  </w:style>
  <w:style w:type="paragraph" w:styleId="682">
    <w:name w:val="Balloon Text"/>
    <w:basedOn w:val="676"/>
    <w:link w:val="683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683" w:customStyle="1">
    <w:name w:val="Testo fumetto Carattere"/>
    <w:link w:val="682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684" w:customStyle="1">
    <w:name w:val="sche_4"/>
    <w:pPr>
      <w:pBdr/>
      <w:spacing/>
      <w:ind/>
      <w:jc w:val="both"/>
    </w:pPr>
    <w:rPr>
      <w:rFonts w:ascii="Helvetica" w:hAnsi="Helvetica" w:cs="Helvetica"/>
      <w:lang w:val="en-US"/>
    </w:rPr>
  </w:style>
  <w:style w:type="table" w:styleId="685">
    <w:name w:val="Table Grid"/>
    <w:basedOn w:val="678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86">
    <w:name w:val="List Paragraph"/>
    <w:basedOn w:val="676"/>
    <w:uiPriority w:val="34"/>
    <w:qFormat/>
    <w:pPr>
      <w:pBdr/>
      <w:spacing/>
      <w:ind w:left="7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png"/><Relationship Id="rId12" Type="http://schemas.openxmlformats.org/officeDocument/2006/relationships/hyperlink" Target="mailto:protocollo.morbegno@cert.provincia.so.i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B14B1-FCFE-42EC-9DFE-15083618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Comune di Morbegno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MORBEGNO</dc:title>
  <dc:subject/>
  <dc:creator>delnero.roberta</dc:creator>
  <cp:keywords/>
  <dc:description/>
  <cp:revision>7</cp:revision>
  <dcterms:created xsi:type="dcterms:W3CDTF">2024-11-22T11:14:00Z</dcterms:created>
  <dcterms:modified xsi:type="dcterms:W3CDTF">2024-11-22T14:37:21Z</dcterms:modified>
</cp:coreProperties>
</file>